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742ED8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54.5pt;z-index:251658240">
                  <v:textbox>
                    <w:txbxContent>
                      <w:p w:rsidR="00D82674" w:rsidRPr="00D82674" w:rsidRDefault="002D099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MONOMERO</w:t>
                        </w:r>
                      </w:p>
                      <w:p w:rsidR="00D82674" w:rsidRPr="00D82674" w:rsidRDefault="00D82674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>NON PERICOLOSO</w:t>
                        </w:r>
                      </w:p>
                    </w:txbxContent>
                  </v:textbox>
                </v:shape>
              </w:pict>
            </w:r>
            <w:r w:rsidR="002D099F">
              <w:rPr>
                <w:b/>
              </w:rPr>
              <w:t>ETHYLENE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742ED8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FE3B60" w:rsidRDefault="00070B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all'ECHA nelle notificazioni CLP questa sostanza </w:t>
                        </w:r>
                        <w:r w:rsidR="00E636E8">
                          <w:rPr>
                            <w:sz w:val="16"/>
                            <w:szCs w:val="16"/>
                          </w:rPr>
                          <w:t xml:space="preserve">è un gas </w:t>
                        </w:r>
                        <w:proofErr w:type="gramStart"/>
                        <w:r w:rsidR="00E636E8">
                          <w:rPr>
                            <w:sz w:val="16"/>
                            <w:szCs w:val="16"/>
                          </w:rPr>
                          <w:t>estremamente</w:t>
                        </w:r>
                        <w:proofErr w:type="gramEnd"/>
                        <w:r w:rsidR="00E636E8">
                          <w:rPr>
                            <w:sz w:val="16"/>
                            <w:szCs w:val="16"/>
                          </w:rPr>
                          <w:t xml:space="preserve"> infiammabile e potrebbe causare sonnolenza e vertigini</w:t>
                        </w:r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:rsidR="003D6864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554B02">
              <w:rPr>
                <w:sz w:val="20"/>
                <w:szCs w:val="20"/>
              </w:rPr>
              <w:t xml:space="preserve"> </w:t>
            </w:r>
            <w:proofErr w:type="gramStart"/>
            <w:r w:rsidR="00554B02">
              <w:rPr>
                <w:sz w:val="20"/>
                <w:szCs w:val="20"/>
              </w:rPr>
              <w:t>200-815-3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554B02">
              <w:rPr>
                <w:sz w:val="20"/>
                <w:szCs w:val="20"/>
              </w:rPr>
              <w:t xml:space="preserve"> </w:t>
            </w:r>
            <w:proofErr w:type="gramStart"/>
            <w:r w:rsidR="00554B02">
              <w:rPr>
                <w:sz w:val="20"/>
                <w:szCs w:val="20"/>
              </w:rPr>
              <w:t>74-85-1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="00554B02">
              <w:rPr>
                <w:sz w:val="20"/>
                <w:szCs w:val="20"/>
              </w:rPr>
              <w:t xml:space="preserve"> C2H4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554B02">
              <w:rPr>
                <w:sz w:val="20"/>
                <w:szCs w:val="20"/>
              </w:rPr>
              <w:t xml:space="preserve"> Prodotto petrolifero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52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proofErr w:type="gramStart"/>
            <w:r w:rsidR="00805EBD"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+ 10 000 </w:t>
            </w:r>
            <w:proofErr w:type="spellStart"/>
            <w:r w:rsidRPr="00FE3B60">
              <w:rPr>
                <w:sz w:val="16"/>
                <w:szCs w:val="16"/>
              </w:rPr>
              <w:t>000</w:t>
            </w:r>
            <w:proofErr w:type="spellEnd"/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È inoltre usata nel settore dei prodotti plastici.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può essere trovata in complessi articoli, senza rilasciare emissioni.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2E085E">
                    <w:rPr>
                      <w:sz w:val="16"/>
                      <w:szCs w:val="16"/>
                    </w:rPr>
                    <w:t>ha 290</w:t>
                  </w:r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Valutazione</w:t>
                  </w:r>
                </w:p>
                <w:p w:rsidR="002D2186" w:rsidRPr="002D2186" w:rsidRDefault="00010E09" w:rsidP="00561FC2">
                  <w:pPr>
                    <w:rPr>
                      <w:sz w:val="16"/>
                      <w:szCs w:val="16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Valutazione del dossier: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2D2186" w:rsidRPr="002D2186">
                    <w:rPr>
                      <w:sz w:val="16"/>
                      <w:szCs w:val="16"/>
                    </w:rPr>
                    <w:t>i fascicoli di registrazione presentati all'ECHA per questa sostanza sono stati valutati sotto il REACH.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561FC2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2B0991"/>
    <w:rsid w:val="002D099F"/>
    <w:rsid w:val="002D2186"/>
    <w:rsid w:val="002E085E"/>
    <w:rsid w:val="00331599"/>
    <w:rsid w:val="003D6864"/>
    <w:rsid w:val="00554B02"/>
    <w:rsid w:val="00742ED8"/>
    <w:rsid w:val="007561B0"/>
    <w:rsid w:val="00782FA2"/>
    <w:rsid w:val="00805EBD"/>
    <w:rsid w:val="00844C69"/>
    <w:rsid w:val="0087371B"/>
    <w:rsid w:val="00A17BE8"/>
    <w:rsid w:val="00D82674"/>
    <w:rsid w:val="00DC3D3B"/>
    <w:rsid w:val="00E636E8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8</cp:revision>
  <cp:lastPrinted>2018-02-02T15:18:00Z</cp:lastPrinted>
  <dcterms:created xsi:type="dcterms:W3CDTF">2018-02-01T08:16:00Z</dcterms:created>
  <dcterms:modified xsi:type="dcterms:W3CDTF">2018-02-07T14:19:00Z</dcterms:modified>
</cp:coreProperties>
</file>